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4A24" w14:textId="77777777" w:rsidR="00EC08E7" w:rsidRPr="003E3B23" w:rsidRDefault="00EC08E7" w:rsidP="00FC1714">
      <w:pPr>
        <w:jc w:val="center"/>
        <w:rPr>
          <w:rFonts w:ascii="Verdana" w:hAnsi="Verdana"/>
          <w:b/>
          <w:sz w:val="20"/>
          <w:u w:val="single"/>
          <w:lang w:val="es-MX"/>
        </w:rPr>
      </w:pPr>
      <w:r w:rsidRPr="003E3B23">
        <w:rPr>
          <w:rFonts w:ascii="Verdana" w:hAnsi="Verdana"/>
          <w:b/>
          <w:sz w:val="20"/>
          <w:u w:val="single"/>
          <w:lang w:val="es-MX"/>
        </w:rPr>
        <w:t xml:space="preserve">Caso Bámaca Velásquez </w:t>
      </w:r>
      <w:r w:rsidRPr="003E3B23">
        <w:rPr>
          <w:rFonts w:ascii="Verdana" w:hAnsi="Verdana"/>
          <w:b/>
          <w:i/>
          <w:sz w:val="20"/>
          <w:u w:val="single"/>
          <w:lang w:val="es-MX"/>
        </w:rPr>
        <w:t>Vs.</w:t>
      </w:r>
      <w:r w:rsidRPr="003E3B23">
        <w:rPr>
          <w:rFonts w:ascii="Verdana" w:hAnsi="Verdana"/>
          <w:b/>
          <w:sz w:val="20"/>
          <w:u w:val="single"/>
          <w:lang w:val="es-MX"/>
        </w:rPr>
        <w:t xml:space="preserve"> Guatemala</w:t>
      </w:r>
      <w:r>
        <w:rPr>
          <w:rFonts w:ascii="Verdana" w:hAnsi="Verdana"/>
          <w:b/>
          <w:sz w:val="20"/>
          <w:u w:val="single"/>
          <w:lang w:val="es-MX"/>
        </w:rPr>
        <w:t>: reparaciones pendientes de cumplimiento</w:t>
      </w:r>
    </w:p>
    <w:p w14:paraId="3E573AD8" w14:textId="77777777" w:rsidR="00EC08E7" w:rsidRDefault="00EC08E7" w:rsidP="00FC1714">
      <w:pPr>
        <w:rPr>
          <w:lang w:val="es-MX"/>
        </w:rPr>
      </w:pPr>
    </w:p>
    <w:p w14:paraId="33793C4C" w14:textId="77777777" w:rsidR="00FC1714" w:rsidRPr="00EC08E7" w:rsidRDefault="00FC1714" w:rsidP="00FC1714">
      <w:pPr>
        <w:rPr>
          <w:lang w:val="es-MX"/>
        </w:rPr>
      </w:pPr>
    </w:p>
    <w:p w14:paraId="4D0B028E" w14:textId="77777777" w:rsidR="00EC08E7" w:rsidRDefault="00EC08E7" w:rsidP="00FC1714">
      <w:pPr>
        <w:pStyle w:val="Sangra2detindependiente"/>
        <w:numPr>
          <w:ilvl w:val="0"/>
          <w:numId w:val="1"/>
        </w:numPr>
        <w:spacing w:line="240" w:lineRule="auto"/>
        <w:ind w:left="360" w:hanging="360"/>
        <w:rPr>
          <w:rFonts w:ascii="Verdana" w:hAnsi="Verdana"/>
          <w:sz w:val="20"/>
        </w:rPr>
      </w:pPr>
      <w:r>
        <w:rPr>
          <w:rFonts w:ascii="Verdana" w:hAnsi="Verdana"/>
          <w:sz w:val="20"/>
        </w:rPr>
        <w:t>L</w:t>
      </w:r>
      <w:r w:rsidRPr="00EC08E7">
        <w:rPr>
          <w:rFonts w:ascii="Verdana" w:hAnsi="Verdana"/>
          <w:sz w:val="20"/>
        </w:rPr>
        <w:t xml:space="preserve">ocalizar los restos mortales de Efraín Bámaca Velásquez, exhumarlos  en presencia de su viuda y familiares, así como entregarlos a éstos, en los términos de los párrafos 81, 82 y 96 de la presente Sentencia. </w:t>
      </w:r>
    </w:p>
    <w:p w14:paraId="3A6DDE59" w14:textId="77777777" w:rsidR="00EC08E7" w:rsidRDefault="00EC08E7" w:rsidP="00EC08E7">
      <w:pPr>
        <w:pStyle w:val="Sangra2detindependiente"/>
        <w:spacing w:line="240" w:lineRule="auto"/>
        <w:ind w:left="360" w:hanging="360"/>
        <w:rPr>
          <w:rFonts w:ascii="Verdana" w:hAnsi="Verdana"/>
          <w:sz w:val="20"/>
        </w:rPr>
      </w:pPr>
    </w:p>
    <w:p w14:paraId="23F7D13A" w14:textId="77777777" w:rsidR="00EC08E7" w:rsidRPr="00EC08E7" w:rsidRDefault="00EC08E7" w:rsidP="00EC08E7">
      <w:pPr>
        <w:pStyle w:val="Sangra2detindependiente"/>
        <w:numPr>
          <w:ilvl w:val="0"/>
          <w:numId w:val="1"/>
        </w:numPr>
        <w:spacing w:line="240" w:lineRule="auto"/>
        <w:ind w:left="360" w:hanging="360"/>
        <w:rPr>
          <w:rFonts w:ascii="Verdana" w:hAnsi="Verdana"/>
          <w:sz w:val="20"/>
        </w:rPr>
      </w:pPr>
      <w:r w:rsidRPr="00EC08E7">
        <w:rPr>
          <w:rFonts w:ascii="Verdana" w:hAnsi="Verdana"/>
          <w:sz w:val="20"/>
        </w:rPr>
        <w:t xml:space="preserve">Investigar los hechos que generaron las violaciones de </w:t>
      </w:r>
      <w:smartTag w:uri="urn:schemas-microsoft-com:office:smarttags" w:element="PersonName">
        <w:smartTagPr>
          <w:attr w:name="ProductID" w:val="la Convenci￳n Americana"/>
        </w:smartTagPr>
        <w:r w:rsidRPr="00EC08E7">
          <w:rPr>
            <w:rFonts w:ascii="Verdana" w:hAnsi="Verdana"/>
            <w:sz w:val="20"/>
          </w:rPr>
          <w:t>la Convención Americana</w:t>
        </w:r>
      </w:smartTag>
      <w:r w:rsidRPr="00EC08E7">
        <w:rPr>
          <w:rFonts w:ascii="Verdana" w:hAnsi="Verdana"/>
          <w:sz w:val="20"/>
        </w:rPr>
        <w:t xml:space="preserve"> sobre Derechos Humanos y de </w:t>
      </w:r>
      <w:smartTag w:uri="urn:schemas-microsoft-com:office:smarttags" w:element="PersonName">
        <w:smartTagPr>
          <w:attr w:name="ProductID" w:val="la Convenci￳n Interamericana"/>
        </w:smartTagPr>
        <w:r w:rsidRPr="00EC08E7">
          <w:rPr>
            <w:rFonts w:ascii="Verdana" w:hAnsi="Verdana"/>
            <w:sz w:val="20"/>
          </w:rPr>
          <w:t>la Convención Interamericana</w:t>
        </w:r>
      </w:smartTag>
      <w:r w:rsidRPr="00EC08E7">
        <w:rPr>
          <w:rFonts w:ascii="Verdana" w:hAnsi="Verdana"/>
          <w:sz w:val="20"/>
        </w:rPr>
        <w:t xml:space="preserve"> para Prevenir y Sancionar </w:t>
      </w:r>
      <w:smartTag w:uri="urn:schemas-microsoft-com:office:smarttags" w:element="PersonName">
        <w:smartTagPr>
          <w:attr w:name="ProductID" w:val="la Tortura"/>
        </w:smartTagPr>
        <w:r w:rsidRPr="00EC08E7">
          <w:rPr>
            <w:rFonts w:ascii="Verdana" w:hAnsi="Verdana"/>
            <w:sz w:val="20"/>
          </w:rPr>
          <w:t>la Tortura</w:t>
        </w:r>
      </w:smartTag>
      <w:r w:rsidRPr="00EC08E7">
        <w:rPr>
          <w:rFonts w:ascii="Verdana" w:hAnsi="Verdana"/>
          <w:sz w:val="20"/>
        </w:rPr>
        <w:t xml:space="preserve"> en el presente caso, identificar y sancionar a los responsables, así como divulgar públicamente los resultados de la respectiva investigación, en los términos de los párrafos </w:t>
      </w:r>
      <w:smartTag w:uri="urn:schemas-microsoft-com:office:smarttags" w:element="metricconverter">
        <w:smartTagPr>
          <w:attr w:name="ProductID" w:val="73 a"/>
        </w:smartTagPr>
        <w:r w:rsidRPr="00EC08E7">
          <w:rPr>
            <w:rFonts w:ascii="Verdana" w:hAnsi="Verdana"/>
            <w:sz w:val="20"/>
          </w:rPr>
          <w:t>73 a</w:t>
        </w:r>
      </w:smartTag>
      <w:r w:rsidRPr="00EC08E7">
        <w:rPr>
          <w:rFonts w:ascii="Verdana" w:hAnsi="Verdana"/>
          <w:sz w:val="20"/>
        </w:rPr>
        <w:t xml:space="preserve"> 78 y 87 de esta Sentencia.</w:t>
      </w:r>
    </w:p>
    <w:p w14:paraId="75227030" w14:textId="77777777" w:rsidR="00EC08E7" w:rsidRDefault="00EC08E7" w:rsidP="00EC08E7">
      <w:pPr>
        <w:rPr>
          <w:lang w:val="es-MX"/>
        </w:rPr>
      </w:pPr>
    </w:p>
    <w:p w14:paraId="4536E4A3" w14:textId="77777777" w:rsidR="00EC08E7" w:rsidRDefault="00EC08E7" w:rsidP="00EC08E7">
      <w:pPr>
        <w:rPr>
          <w:rFonts w:ascii="Verdana" w:hAnsi="Verdana"/>
          <w:b/>
          <w:sz w:val="20"/>
          <w:lang w:val="es-MX"/>
        </w:rPr>
      </w:pPr>
      <w:r w:rsidRPr="003E3B23">
        <w:rPr>
          <w:rFonts w:ascii="Verdana" w:hAnsi="Verdana"/>
          <w:b/>
          <w:sz w:val="20"/>
          <w:lang w:val="es-MX"/>
        </w:rPr>
        <w:t>Cumplimiento parcial:</w:t>
      </w:r>
    </w:p>
    <w:p w14:paraId="65EE1D26" w14:textId="77777777" w:rsidR="00EC08E7" w:rsidRPr="003E3B23" w:rsidRDefault="00EC08E7" w:rsidP="00EC08E7">
      <w:pPr>
        <w:rPr>
          <w:rFonts w:ascii="Verdana" w:hAnsi="Verdana"/>
          <w:b/>
          <w:sz w:val="20"/>
          <w:lang w:val="es-MX"/>
        </w:rPr>
      </w:pPr>
    </w:p>
    <w:p w14:paraId="7AE13622" w14:textId="77777777" w:rsidR="00EC08E7" w:rsidRPr="00EC08E7" w:rsidRDefault="00EC08E7" w:rsidP="00EC08E7">
      <w:pPr>
        <w:pStyle w:val="Prrafodelista"/>
        <w:numPr>
          <w:ilvl w:val="0"/>
          <w:numId w:val="1"/>
        </w:numPr>
        <w:ind w:left="360" w:hanging="360"/>
        <w:jc w:val="both"/>
        <w:rPr>
          <w:rFonts w:ascii="Verdana" w:hAnsi="Verdana"/>
          <w:sz w:val="20"/>
          <w:lang w:val="es-MX"/>
        </w:rPr>
      </w:pPr>
      <w:r w:rsidRPr="00EC08E7">
        <w:rPr>
          <w:rFonts w:ascii="Verdana" w:hAnsi="Verdana"/>
          <w:sz w:val="20"/>
          <w:lang w:val="es-MX"/>
        </w:rPr>
        <w:t xml:space="preserve">Adoptar las medidas legislativas y de cualquier otra índole que sean necesarias para adecuar el ordenamiento jurídico guatemalteco a las normas internacionales de derechos humanos y de derecho humanitario, y para darle plena efectividad a dichas normas en el ámbito interno, de acuerdo con el artículo 2 de </w:t>
      </w:r>
      <w:smartTag w:uri="urn:schemas-microsoft-com:office:smarttags" w:element="PersonName">
        <w:smartTagPr>
          <w:attr w:name="ProductID" w:val="la Convenci￳n Americana"/>
        </w:smartTagPr>
        <w:r w:rsidRPr="00EC08E7">
          <w:rPr>
            <w:rFonts w:ascii="Verdana" w:hAnsi="Verdana"/>
            <w:sz w:val="20"/>
            <w:lang w:val="es-MX"/>
          </w:rPr>
          <w:t>la Convención Americana</w:t>
        </w:r>
      </w:smartTag>
      <w:r w:rsidRPr="00EC08E7">
        <w:rPr>
          <w:rFonts w:ascii="Verdana" w:hAnsi="Verdana"/>
          <w:sz w:val="20"/>
          <w:lang w:val="es-MX"/>
        </w:rPr>
        <w:t xml:space="preserve"> sobre Derechos Humanos.</w:t>
      </w:r>
    </w:p>
    <w:p w14:paraId="2CE6B5CE" w14:textId="77777777" w:rsidR="00EC08E7" w:rsidRDefault="00EC08E7" w:rsidP="00EC08E7">
      <w:pPr>
        <w:jc w:val="both"/>
        <w:rPr>
          <w:rFonts w:ascii="Verdana" w:hAnsi="Verdana"/>
          <w:sz w:val="20"/>
          <w:lang w:val="es-MX"/>
        </w:rPr>
      </w:pPr>
      <w:r w:rsidRPr="003E3B23">
        <w:rPr>
          <w:rFonts w:ascii="Verdana" w:hAnsi="Verdana"/>
          <w:sz w:val="20"/>
          <w:lang w:val="es-MX"/>
        </w:rPr>
        <w:t xml:space="preserve">En el Considerando </w:t>
      </w:r>
      <w:r>
        <w:rPr>
          <w:rFonts w:ascii="Verdana" w:hAnsi="Verdana"/>
          <w:sz w:val="20"/>
          <w:lang w:val="es-MX"/>
        </w:rPr>
        <w:t>4</w:t>
      </w:r>
      <w:r w:rsidRPr="003E3B23">
        <w:rPr>
          <w:rFonts w:ascii="Verdana" w:hAnsi="Verdana"/>
          <w:sz w:val="20"/>
          <w:lang w:val="es-MX"/>
        </w:rPr>
        <w:t>1 de la resolución de la Cor</w:t>
      </w:r>
      <w:r>
        <w:rPr>
          <w:rFonts w:ascii="Verdana" w:hAnsi="Verdana"/>
          <w:sz w:val="20"/>
          <w:lang w:val="es-MX"/>
        </w:rPr>
        <w:t>te de 27</w:t>
      </w:r>
      <w:r w:rsidRPr="003E3B23">
        <w:rPr>
          <w:rFonts w:ascii="Verdana" w:hAnsi="Verdana"/>
          <w:sz w:val="20"/>
          <w:lang w:val="es-MX"/>
        </w:rPr>
        <w:t xml:space="preserve"> de </w:t>
      </w:r>
      <w:r>
        <w:rPr>
          <w:rFonts w:ascii="Verdana" w:hAnsi="Verdana"/>
          <w:sz w:val="20"/>
          <w:lang w:val="es-MX"/>
        </w:rPr>
        <w:t>enero de 2009</w:t>
      </w:r>
      <w:r w:rsidRPr="003E3B23">
        <w:rPr>
          <w:rFonts w:ascii="Verdana" w:hAnsi="Verdana"/>
          <w:sz w:val="20"/>
          <w:lang w:val="es-MX"/>
        </w:rPr>
        <w:t xml:space="preserve"> se explica lo que continúa pendiente de cumplimiento respecto a la presente medida de reparación:</w:t>
      </w:r>
    </w:p>
    <w:p w14:paraId="29D978A1" w14:textId="77777777" w:rsidR="007D185A" w:rsidRPr="003E3B23" w:rsidRDefault="007D185A" w:rsidP="00EC08E7">
      <w:pPr>
        <w:jc w:val="both"/>
        <w:rPr>
          <w:rFonts w:ascii="Verdana" w:hAnsi="Verdana"/>
          <w:sz w:val="20"/>
          <w:lang w:val="es-MX"/>
        </w:rPr>
      </w:pPr>
    </w:p>
    <w:p w14:paraId="16F57555" w14:textId="0782E58A" w:rsidR="00EC08E7" w:rsidRDefault="00EC08E7" w:rsidP="00EC08E7">
      <w:pPr>
        <w:ind w:left="360" w:right="720"/>
        <w:jc w:val="both"/>
        <w:rPr>
          <w:rFonts w:ascii="Verdana" w:hAnsi="Verdana"/>
          <w:sz w:val="18"/>
          <w:szCs w:val="18"/>
        </w:rPr>
      </w:pPr>
      <w:r w:rsidRPr="003E3B23">
        <w:rPr>
          <w:rFonts w:ascii="Verdana" w:hAnsi="Verdana"/>
          <w:sz w:val="18"/>
          <w:szCs w:val="18"/>
        </w:rPr>
        <w:t>41.</w:t>
      </w:r>
      <w:r w:rsidRPr="003E3B23">
        <w:rPr>
          <w:rFonts w:ascii="Verdana" w:hAnsi="Verdana"/>
          <w:sz w:val="18"/>
          <w:szCs w:val="18"/>
        </w:rPr>
        <w:tab/>
        <w:t xml:space="preserve">Que la Corte valora los esfuerzos realizados por el Estado para dar cumplimiento a este punto de la Sentencia. Sin embargo, considera que requiere más información en relación con: </w:t>
      </w:r>
    </w:p>
    <w:p w14:paraId="43AC9070" w14:textId="77777777" w:rsidR="005A1E81" w:rsidRPr="003E3B23" w:rsidRDefault="005A1E81" w:rsidP="00EC08E7">
      <w:pPr>
        <w:ind w:left="360" w:right="720"/>
        <w:jc w:val="both"/>
        <w:rPr>
          <w:rFonts w:ascii="Verdana" w:hAnsi="Verdana"/>
          <w:sz w:val="18"/>
          <w:szCs w:val="18"/>
        </w:rPr>
      </w:pPr>
    </w:p>
    <w:p w14:paraId="61A3043C" w14:textId="77777777" w:rsidR="00EC08E7" w:rsidRPr="003E3B23" w:rsidRDefault="00EC08E7" w:rsidP="00EC08E7">
      <w:pPr>
        <w:ind w:left="360" w:right="720"/>
        <w:jc w:val="both"/>
        <w:rPr>
          <w:rFonts w:ascii="Verdana" w:hAnsi="Verdana"/>
          <w:sz w:val="18"/>
          <w:szCs w:val="18"/>
        </w:rPr>
      </w:pPr>
      <w:r w:rsidRPr="003E3B23">
        <w:rPr>
          <w:rFonts w:ascii="Verdana" w:hAnsi="Verdana"/>
          <w:sz w:val="18"/>
          <w:szCs w:val="18"/>
        </w:rPr>
        <w:t>a)</w:t>
      </w:r>
      <w:r w:rsidRPr="003E3B23">
        <w:rPr>
          <w:rFonts w:ascii="Verdana" w:hAnsi="Verdana"/>
          <w:sz w:val="18"/>
          <w:szCs w:val="18"/>
        </w:rPr>
        <w:tab/>
        <w:t xml:space="preserve">la Iniciativa de Ley de la Comisión Nacional de Búsqueda de Personas Víctimas de Desaparición Forzada y Otras Formas de Desaparición, en específico si ha sido aprobada por el Congreso y cuáles han sido los resultados concretos de la aplicación de esta ley al caso del señor Bámaca Velásquez, </w:t>
      </w:r>
    </w:p>
    <w:p w14:paraId="45E66124" w14:textId="77777777" w:rsidR="00EC08E7" w:rsidRPr="003E3B23" w:rsidRDefault="00EC08E7" w:rsidP="00EC08E7">
      <w:pPr>
        <w:ind w:left="360" w:right="720"/>
        <w:jc w:val="both"/>
        <w:rPr>
          <w:rFonts w:ascii="Verdana" w:hAnsi="Verdana"/>
          <w:sz w:val="18"/>
          <w:szCs w:val="18"/>
        </w:rPr>
      </w:pPr>
      <w:r w:rsidRPr="003E3B23">
        <w:rPr>
          <w:rFonts w:ascii="Verdana" w:hAnsi="Verdana"/>
          <w:sz w:val="18"/>
          <w:szCs w:val="18"/>
        </w:rPr>
        <w:t>b)</w:t>
      </w:r>
      <w:r w:rsidRPr="003E3B23">
        <w:rPr>
          <w:rFonts w:ascii="Verdana" w:hAnsi="Verdana"/>
          <w:sz w:val="18"/>
          <w:szCs w:val="18"/>
        </w:rPr>
        <w:tab/>
        <w:t>la Ley de Acceso a la Información Pública, específicamente si permite el acceso a expedientes confidenciales en poder de las fuerzas de seguridad, y</w:t>
      </w:r>
    </w:p>
    <w:p w14:paraId="322978C5" w14:textId="77777777" w:rsidR="00EC08E7" w:rsidRPr="003E3B23" w:rsidRDefault="00EC08E7" w:rsidP="00EC08E7">
      <w:pPr>
        <w:ind w:left="360" w:right="720"/>
        <w:jc w:val="both"/>
        <w:rPr>
          <w:rFonts w:ascii="Verdana" w:hAnsi="Verdana"/>
          <w:sz w:val="18"/>
          <w:szCs w:val="18"/>
        </w:rPr>
      </w:pPr>
      <w:r w:rsidRPr="003E3B23">
        <w:rPr>
          <w:rFonts w:ascii="Verdana" w:hAnsi="Verdana"/>
          <w:sz w:val="18"/>
          <w:szCs w:val="18"/>
        </w:rPr>
        <w:t>c)</w:t>
      </w:r>
      <w:r w:rsidRPr="003E3B23">
        <w:rPr>
          <w:rFonts w:ascii="Verdana" w:hAnsi="Verdana"/>
          <w:sz w:val="18"/>
          <w:szCs w:val="18"/>
        </w:rPr>
        <w:tab/>
        <w:t>la Ley para la Protección de Sujetos Procesales y Personas Vinculadas a la Administración de Justicia Penal, específicamente si dicha ley está siendo aplicada, y si no ha sido aplicada en este sentido, si existe una ley específica o algún otro mecanismo que asegure la protección de testigos.</w:t>
      </w:r>
    </w:p>
    <w:p w14:paraId="7C0AFD79" w14:textId="77777777" w:rsidR="00EC08E7" w:rsidRPr="00EC08E7" w:rsidRDefault="00EC08E7"/>
    <w:sectPr w:rsidR="00EC08E7" w:rsidRPr="00EC08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DBE9" w14:textId="77777777" w:rsidR="00EC08E7" w:rsidRDefault="00EC08E7" w:rsidP="00EC08E7">
      <w:r>
        <w:separator/>
      </w:r>
    </w:p>
  </w:endnote>
  <w:endnote w:type="continuationSeparator" w:id="0">
    <w:p w14:paraId="4D8B8A9D" w14:textId="77777777" w:rsidR="00EC08E7" w:rsidRDefault="00EC08E7" w:rsidP="00EC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F30F" w14:textId="77777777" w:rsidR="00EC08E7" w:rsidRPr="00A950A1" w:rsidRDefault="00EC08E7" w:rsidP="00EC08E7">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1180BB" w14:textId="77777777" w:rsidR="00EC08E7" w:rsidRPr="00EC08E7" w:rsidRDefault="00EC08E7">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F7FA" w14:textId="77777777" w:rsidR="00EC08E7" w:rsidRDefault="00EC08E7" w:rsidP="00EC08E7">
      <w:r>
        <w:separator/>
      </w:r>
    </w:p>
  </w:footnote>
  <w:footnote w:type="continuationSeparator" w:id="0">
    <w:p w14:paraId="298D90EE" w14:textId="77777777" w:rsidR="00EC08E7" w:rsidRDefault="00EC08E7" w:rsidP="00EC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185621"/>
      <w:docPartObj>
        <w:docPartGallery w:val="Page Numbers (Top of Page)"/>
        <w:docPartUnique/>
      </w:docPartObj>
    </w:sdtPr>
    <w:sdtEndPr>
      <w:rPr>
        <w:rFonts w:ascii="Verdana" w:hAnsi="Verdana"/>
        <w:noProof/>
        <w:sz w:val="20"/>
      </w:rPr>
    </w:sdtEndPr>
    <w:sdtContent>
      <w:p w14:paraId="3D7241E4" w14:textId="77777777" w:rsidR="00EC08E7" w:rsidRPr="00EC08E7" w:rsidRDefault="00EC08E7">
        <w:pPr>
          <w:pStyle w:val="Encabezado"/>
          <w:jc w:val="right"/>
          <w:rPr>
            <w:rFonts w:ascii="Verdana" w:hAnsi="Verdana"/>
            <w:sz w:val="20"/>
          </w:rPr>
        </w:pPr>
        <w:r w:rsidRPr="00EC08E7">
          <w:rPr>
            <w:rFonts w:ascii="Verdana" w:hAnsi="Verdana"/>
            <w:sz w:val="20"/>
          </w:rPr>
          <w:fldChar w:fldCharType="begin"/>
        </w:r>
        <w:r w:rsidRPr="00EC08E7">
          <w:rPr>
            <w:rFonts w:ascii="Verdana" w:hAnsi="Verdana"/>
            <w:sz w:val="20"/>
          </w:rPr>
          <w:instrText xml:space="preserve"> PAGE   \* MERGEFORMAT </w:instrText>
        </w:r>
        <w:r w:rsidRPr="00EC08E7">
          <w:rPr>
            <w:rFonts w:ascii="Verdana" w:hAnsi="Verdana"/>
            <w:sz w:val="20"/>
          </w:rPr>
          <w:fldChar w:fldCharType="separate"/>
        </w:r>
        <w:r w:rsidR="00FC1714">
          <w:rPr>
            <w:rFonts w:ascii="Verdana" w:hAnsi="Verdana"/>
            <w:noProof/>
            <w:sz w:val="20"/>
          </w:rPr>
          <w:t>1</w:t>
        </w:r>
        <w:r w:rsidRPr="00EC08E7">
          <w:rPr>
            <w:rFonts w:ascii="Verdana" w:hAnsi="Verdana"/>
            <w:noProof/>
            <w:sz w:val="20"/>
          </w:rPr>
          <w:fldChar w:fldCharType="end"/>
        </w:r>
      </w:p>
    </w:sdtContent>
  </w:sdt>
  <w:p w14:paraId="63568BC9" w14:textId="77777777" w:rsidR="00EC08E7" w:rsidRDefault="00EC08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8D4"/>
    <w:multiLevelType w:val="hybridMultilevel"/>
    <w:tmpl w:val="62FA88FE"/>
    <w:lvl w:ilvl="0" w:tplc="2D128A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1103B"/>
    <w:multiLevelType w:val="hybridMultilevel"/>
    <w:tmpl w:val="AE6E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E7"/>
    <w:rsid w:val="003A7E5E"/>
    <w:rsid w:val="004B4267"/>
    <w:rsid w:val="005A1E81"/>
    <w:rsid w:val="007D185A"/>
    <w:rsid w:val="009832C0"/>
    <w:rsid w:val="00EC08E7"/>
    <w:rsid w:val="00FC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4D461C7"/>
  <w15:docId w15:val="{C2EA6239-51DB-4A29-BAEC-266409BC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E7"/>
    <w:pPr>
      <w:overflowPunct w:val="0"/>
      <w:autoSpaceDE w:val="0"/>
      <w:autoSpaceDN w:val="0"/>
      <w:adjustRightInd w:val="0"/>
      <w:spacing w:after="0" w:line="240" w:lineRule="auto"/>
      <w:textAlignment w:val="baseline"/>
    </w:pPr>
    <w:rPr>
      <w:rFonts w:ascii="Times" w:eastAsia="Times New Roman"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C08E7"/>
    <w:pPr>
      <w:spacing w:line="360" w:lineRule="atLeast"/>
      <w:ind w:right="6"/>
      <w:jc w:val="both"/>
    </w:pPr>
    <w:rPr>
      <w:rFonts w:ascii="Garamond" w:hAnsi="Garamond"/>
    </w:rPr>
  </w:style>
  <w:style w:type="character" w:customStyle="1" w:styleId="TextoindependienteCar">
    <w:name w:val="Texto independiente Car"/>
    <w:basedOn w:val="Fuentedeprrafopredeter"/>
    <w:link w:val="Textoindependiente"/>
    <w:rsid w:val="00EC08E7"/>
    <w:rPr>
      <w:rFonts w:ascii="Garamond" w:eastAsia="Times New Roman" w:hAnsi="Garamond" w:cs="Times New Roman"/>
      <w:sz w:val="24"/>
      <w:szCs w:val="20"/>
      <w:lang w:val="es-ES_tradnl" w:eastAsia="es-ES"/>
    </w:rPr>
  </w:style>
  <w:style w:type="paragraph" w:customStyle="1" w:styleId="Sangra2detindependiente">
    <w:name w:val="Sangr’a 2 de t. independiente"/>
    <w:basedOn w:val="Normal"/>
    <w:rsid w:val="00EC08E7"/>
    <w:pPr>
      <w:spacing w:line="360" w:lineRule="atLeast"/>
      <w:ind w:left="720"/>
      <w:jc w:val="both"/>
    </w:pPr>
    <w:rPr>
      <w:rFonts w:ascii="Garamond" w:hAnsi="Garamond"/>
    </w:rPr>
  </w:style>
  <w:style w:type="paragraph" w:styleId="Encabezado">
    <w:name w:val="header"/>
    <w:basedOn w:val="Normal"/>
    <w:link w:val="EncabezadoCar"/>
    <w:uiPriority w:val="99"/>
    <w:unhideWhenUsed/>
    <w:rsid w:val="00EC08E7"/>
    <w:pPr>
      <w:tabs>
        <w:tab w:val="center" w:pos="4680"/>
        <w:tab w:val="right" w:pos="9360"/>
      </w:tabs>
    </w:pPr>
  </w:style>
  <w:style w:type="character" w:customStyle="1" w:styleId="EncabezadoCar">
    <w:name w:val="Encabezado Car"/>
    <w:basedOn w:val="Fuentedeprrafopredeter"/>
    <w:link w:val="Encabezado"/>
    <w:uiPriority w:val="99"/>
    <w:rsid w:val="00EC08E7"/>
    <w:rPr>
      <w:rFonts w:ascii="Times" w:eastAsia="Times New Roman" w:hAnsi="Times" w:cs="Times New Roman"/>
      <w:sz w:val="24"/>
      <w:szCs w:val="20"/>
      <w:lang w:val="es-ES_tradnl" w:eastAsia="es-ES"/>
    </w:rPr>
  </w:style>
  <w:style w:type="paragraph" w:styleId="Piedepgina">
    <w:name w:val="footer"/>
    <w:basedOn w:val="Normal"/>
    <w:link w:val="PiedepginaCar"/>
    <w:uiPriority w:val="99"/>
    <w:unhideWhenUsed/>
    <w:rsid w:val="00EC08E7"/>
    <w:pPr>
      <w:tabs>
        <w:tab w:val="center" w:pos="4680"/>
        <w:tab w:val="right" w:pos="9360"/>
      </w:tabs>
    </w:pPr>
  </w:style>
  <w:style w:type="character" w:customStyle="1" w:styleId="PiedepginaCar">
    <w:name w:val="Pie de página Car"/>
    <w:basedOn w:val="Fuentedeprrafopredeter"/>
    <w:link w:val="Piedepgina"/>
    <w:uiPriority w:val="99"/>
    <w:rsid w:val="00EC08E7"/>
    <w:rPr>
      <w:rFonts w:ascii="Times" w:eastAsia="Times New Roman" w:hAnsi="Times" w:cs="Times New Roman"/>
      <w:sz w:val="24"/>
      <w:szCs w:val="20"/>
      <w:lang w:val="es-ES_tradnl" w:eastAsia="es-ES"/>
    </w:rPr>
  </w:style>
  <w:style w:type="paragraph" w:styleId="Prrafodelista">
    <w:name w:val="List Paragraph"/>
    <w:basedOn w:val="Normal"/>
    <w:uiPriority w:val="34"/>
    <w:qFormat/>
    <w:rsid w:val="00EC08E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Shashira Douglas</cp:lastModifiedBy>
  <cp:revision>2</cp:revision>
  <dcterms:created xsi:type="dcterms:W3CDTF">2021-12-31T00:09:00Z</dcterms:created>
  <dcterms:modified xsi:type="dcterms:W3CDTF">2021-12-31T00:09:00Z</dcterms:modified>
</cp:coreProperties>
</file>